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57BF" w14:textId="77777777" w:rsidR="00B56B8D" w:rsidRDefault="004F42A4" w:rsidP="00B56B8D">
      <w:pPr>
        <w:rPr>
          <w:b/>
          <w:sz w:val="24"/>
          <w:szCs w:val="24"/>
        </w:rPr>
      </w:pPr>
      <w:r w:rsidRPr="00A67DD9">
        <w:rPr>
          <w:b/>
          <w:sz w:val="24"/>
          <w:szCs w:val="24"/>
        </w:rPr>
        <w:t xml:space="preserve">CONSOLIDACIONS </w:t>
      </w:r>
      <w:r w:rsidR="00311AAC">
        <w:rPr>
          <w:b/>
          <w:sz w:val="24"/>
          <w:szCs w:val="24"/>
        </w:rPr>
        <w:t xml:space="preserve">AMB </w:t>
      </w:r>
      <w:r w:rsidR="001E36CB">
        <w:rPr>
          <w:b/>
          <w:sz w:val="24"/>
          <w:szCs w:val="24"/>
        </w:rPr>
        <w:t xml:space="preserve">EL </w:t>
      </w:r>
      <w:r w:rsidR="00B56B8D">
        <w:rPr>
          <w:b/>
          <w:sz w:val="24"/>
          <w:szCs w:val="24"/>
        </w:rPr>
        <w:t>CTTI</w:t>
      </w:r>
      <w:r w:rsidRPr="00A67DD9">
        <w:rPr>
          <w:b/>
          <w:sz w:val="24"/>
          <w:szCs w:val="24"/>
        </w:rPr>
        <w:t xml:space="preserve"> (</w:t>
      </w:r>
      <w:r w:rsidR="00C94C7D">
        <w:rPr>
          <w:b/>
          <w:sz w:val="24"/>
          <w:szCs w:val="24"/>
        </w:rPr>
        <w:t xml:space="preserve">CODI ENTITAT </w:t>
      </w:r>
      <w:r w:rsidRPr="00A67DD9">
        <w:rPr>
          <w:b/>
          <w:sz w:val="24"/>
          <w:szCs w:val="24"/>
        </w:rPr>
        <w:t>6</w:t>
      </w:r>
      <w:r w:rsidR="00B56B8D">
        <w:rPr>
          <w:b/>
          <w:sz w:val="24"/>
          <w:szCs w:val="24"/>
        </w:rPr>
        <w:t>2</w:t>
      </w:r>
      <w:r w:rsidRPr="00A67DD9">
        <w:rPr>
          <w:b/>
          <w:sz w:val="24"/>
          <w:szCs w:val="24"/>
        </w:rPr>
        <w:t>90)</w:t>
      </w:r>
      <w:r w:rsidR="00403417">
        <w:rPr>
          <w:b/>
          <w:sz w:val="24"/>
          <w:szCs w:val="24"/>
        </w:rPr>
        <w:t xml:space="preserve"> </w:t>
      </w:r>
    </w:p>
    <w:p w14:paraId="1BCA2743" w14:textId="7A14A296" w:rsidR="00276899" w:rsidRPr="001B236A" w:rsidRDefault="00812004" w:rsidP="00311AAC">
      <w:pPr>
        <w:jc w:val="both"/>
        <w:rPr>
          <w:sz w:val="20"/>
          <w:szCs w:val="20"/>
        </w:rPr>
      </w:pPr>
      <w:r w:rsidRPr="001B236A">
        <w:rPr>
          <w:sz w:val="20"/>
          <w:szCs w:val="20"/>
        </w:rPr>
        <w:t xml:space="preserve">Els departaments i entitats </w:t>
      </w:r>
      <w:r w:rsidR="0032217F" w:rsidRPr="001B236A">
        <w:rPr>
          <w:sz w:val="20"/>
          <w:szCs w:val="20"/>
        </w:rPr>
        <w:t xml:space="preserve">del sector públic </w:t>
      </w:r>
      <w:r w:rsidRPr="001B236A">
        <w:rPr>
          <w:sz w:val="20"/>
          <w:szCs w:val="20"/>
        </w:rPr>
        <w:t xml:space="preserve">que comprin serveis i inversions al CTTI, han de consignar la despesa a les partides de capítols 2 i 6,  en funció de la seva naturalesa. </w:t>
      </w:r>
      <w:r w:rsidR="00F76177">
        <w:rPr>
          <w:sz w:val="20"/>
          <w:szCs w:val="20"/>
        </w:rPr>
        <w:t>En el cas de la despesa de capítol 2, aquesta</w:t>
      </w:r>
      <w:r w:rsidRPr="001B236A">
        <w:rPr>
          <w:sz w:val="20"/>
          <w:szCs w:val="20"/>
        </w:rPr>
        <w:t xml:space="preserve"> consolida parcialment amb les partides d’ing</w:t>
      </w:r>
      <w:r w:rsidR="00F76177">
        <w:rPr>
          <w:sz w:val="20"/>
          <w:szCs w:val="20"/>
        </w:rPr>
        <w:t>rés del CTTI dels capítols 3</w:t>
      </w:r>
      <w:r w:rsidRPr="001B236A">
        <w:rPr>
          <w:sz w:val="20"/>
          <w:szCs w:val="20"/>
        </w:rPr>
        <w:t>, d’acord amb el que s’indic</w:t>
      </w:r>
      <w:r w:rsidR="004473F6" w:rsidRPr="001B236A">
        <w:rPr>
          <w:sz w:val="20"/>
          <w:szCs w:val="20"/>
        </w:rPr>
        <w:t>a a continuació</w:t>
      </w:r>
      <w:r w:rsidR="00276899" w:rsidRPr="001B236A">
        <w:rPr>
          <w:sz w:val="20"/>
          <w:szCs w:val="20"/>
        </w:rPr>
        <w:t>, per tant, els departaments i entitats marcaran la X de consolidació parcial</w:t>
      </w:r>
      <w:r w:rsidR="0032217F" w:rsidRPr="001B236A">
        <w:rPr>
          <w:sz w:val="20"/>
          <w:szCs w:val="20"/>
        </w:rPr>
        <w:t>.</w:t>
      </w:r>
      <w:r w:rsidR="004473F6" w:rsidRPr="001B236A">
        <w:rPr>
          <w:sz w:val="20"/>
          <w:szCs w:val="20"/>
        </w:rPr>
        <w:t xml:space="preserve"> </w:t>
      </w:r>
      <w:r w:rsidR="00336A0A" w:rsidRPr="001B236A">
        <w:rPr>
          <w:sz w:val="20"/>
          <w:szCs w:val="20"/>
        </w:rPr>
        <w:t xml:space="preserve">En aquest cas, en tenir la consideració d’entitats de fora del SP, la partida d’ingrés </w:t>
      </w:r>
      <w:r w:rsidR="00F76177">
        <w:rPr>
          <w:sz w:val="20"/>
          <w:szCs w:val="20"/>
        </w:rPr>
        <w:t xml:space="preserve">receptora </w:t>
      </w:r>
      <w:r w:rsidR="00336A0A" w:rsidRPr="001B236A">
        <w:rPr>
          <w:sz w:val="20"/>
          <w:szCs w:val="20"/>
        </w:rPr>
        <w:t>de l’e</w:t>
      </w:r>
      <w:r w:rsidR="00336A0A">
        <w:rPr>
          <w:sz w:val="20"/>
          <w:szCs w:val="20"/>
        </w:rPr>
        <w:t>ntitat 6290 ha de ser la 3190009</w:t>
      </w:r>
      <w:r w:rsidR="00336A0A" w:rsidRPr="001B236A">
        <w:rPr>
          <w:sz w:val="20"/>
          <w:szCs w:val="20"/>
        </w:rPr>
        <w:t xml:space="preserve"> Prestacions d'a</w:t>
      </w:r>
      <w:r w:rsidR="00336A0A">
        <w:rPr>
          <w:sz w:val="20"/>
          <w:szCs w:val="20"/>
        </w:rPr>
        <w:t>ltres serveis a entitats de dins</w:t>
      </w:r>
      <w:r w:rsidR="00336A0A" w:rsidRPr="001B236A">
        <w:rPr>
          <w:sz w:val="20"/>
          <w:szCs w:val="20"/>
        </w:rPr>
        <w:t xml:space="preserve"> del sector públic</w:t>
      </w:r>
    </w:p>
    <w:p w14:paraId="3762B508" w14:textId="7E973192" w:rsidR="0032217F" w:rsidRPr="001B236A" w:rsidRDefault="0032217F" w:rsidP="0032217F">
      <w:pPr>
        <w:jc w:val="both"/>
        <w:rPr>
          <w:sz w:val="20"/>
          <w:szCs w:val="20"/>
        </w:rPr>
      </w:pPr>
      <w:r w:rsidRPr="001B236A">
        <w:rPr>
          <w:sz w:val="20"/>
          <w:szCs w:val="20"/>
        </w:rPr>
        <w:t xml:space="preserve">Les entitats AP-SEC minoritàries (no són SP) que comprin serveis i inversions al CTTI, han de consignar la despesa a les partides de capítols 2 i 6,  en funció de la seva naturalesa. </w:t>
      </w:r>
      <w:r w:rsidR="00F76177">
        <w:rPr>
          <w:sz w:val="20"/>
          <w:szCs w:val="20"/>
        </w:rPr>
        <w:t>En el cas de la despesa de capítol 2 aquesta</w:t>
      </w:r>
      <w:r w:rsidRPr="001B236A">
        <w:rPr>
          <w:sz w:val="20"/>
          <w:szCs w:val="20"/>
        </w:rPr>
        <w:t xml:space="preserve"> consolida parcialment amb les partides d’ing</w:t>
      </w:r>
      <w:r w:rsidR="00F76177">
        <w:rPr>
          <w:sz w:val="20"/>
          <w:szCs w:val="20"/>
        </w:rPr>
        <w:t>rés del CTTI dels capítols 3</w:t>
      </w:r>
      <w:r w:rsidRPr="001B236A">
        <w:rPr>
          <w:sz w:val="20"/>
          <w:szCs w:val="20"/>
        </w:rPr>
        <w:t xml:space="preserve">, d’acord amb el que s’indica a continuació, per tant, </w:t>
      </w:r>
      <w:r w:rsidR="008B3742">
        <w:rPr>
          <w:sz w:val="20"/>
          <w:szCs w:val="20"/>
        </w:rPr>
        <w:t xml:space="preserve">aquestes entitats AP-SEC minoritàries </w:t>
      </w:r>
      <w:r w:rsidRPr="001B236A">
        <w:rPr>
          <w:sz w:val="20"/>
          <w:szCs w:val="20"/>
        </w:rPr>
        <w:t xml:space="preserve"> marcaran la X de consolidació parcial. </w:t>
      </w:r>
      <w:r w:rsidR="00022B25" w:rsidRPr="001B236A">
        <w:rPr>
          <w:sz w:val="20"/>
          <w:szCs w:val="20"/>
        </w:rPr>
        <w:t>En aquest cas, en tenir la consideració d’entitats de fora del SP, la partida d’ingrés de l’entitat 6290 ha de ser la 3190010 Prestacions d'altres serveis a entitats de fora del sector públic</w:t>
      </w:r>
    </w:p>
    <w:p w14:paraId="4DBBE020" w14:textId="05593531" w:rsidR="0032217F" w:rsidRPr="001B236A" w:rsidRDefault="00022B25" w:rsidP="00311AAC">
      <w:pPr>
        <w:jc w:val="both"/>
        <w:rPr>
          <w:sz w:val="20"/>
          <w:szCs w:val="20"/>
        </w:rPr>
      </w:pPr>
      <w:r w:rsidRPr="001B236A">
        <w:rPr>
          <w:sz w:val="20"/>
          <w:szCs w:val="20"/>
        </w:rPr>
        <w:t>Enguany, i en compliment de l’Acord del Govern de 30 de juliol, el departament d’adscripció del CTTI, ha de pressupostar la despesa corresponent als serveis de governança centralitzada</w:t>
      </w:r>
      <w:r w:rsidR="007C0BB8" w:rsidRPr="001B236A">
        <w:rPr>
          <w:sz w:val="20"/>
          <w:szCs w:val="20"/>
        </w:rPr>
        <w:t xml:space="preserve">. Aquest serveis tenen naturalesa de serveis recurrents. </w:t>
      </w:r>
      <w:r w:rsidR="006C4994" w:rsidRPr="001B236A">
        <w:rPr>
          <w:sz w:val="20"/>
          <w:szCs w:val="20"/>
        </w:rPr>
        <w:t xml:space="preserve">L’aplicació econòmica és la 2280006 </w:t>
      </w:r>
      <w:r w:rsidR="006C4994" w:rsidRPr="001B236A">
        <w:rPr>
          <w:rStyle w:val="Textennegreta"/>
          <w:sz w:val="20"/>
          <w:szCs w:val="20"/>
        </w:rPr>
        <w:t>Solucions de Governança Centralitzada TIC adquirides al CTTI.</w:t>
      </w:r>
    </w:p>
    <w:p w14:paraId="3550E5F8" w14:textId="454561D6" w:rsidR="00812004" w:rsidRPr="001B236A" w:rsidRDefault="00F76177" w:rsidP="00311AAC">
      <w:pPr>
        <w:jc w:val="both"/>
        <w:rPr>
          <w:sz w:val="20"/>
          <w:szCs w:val="20"/>
        </w:rPr>
      </w:pPr>
      <w:r>
        <w:rPr>
          <w:sz w:val="20"/>
          <w:szCs w:val="20"/>
        </w:rPr>
        <w:t>Cal tenir en compte que de</w:t>
      </w:r>
      <w:r w:rsidR="006C4994" w:rsidRPr="001B236A">
        <w:rPr>
          <w:sz w:val="20"/>
          <w:szCs w:val="20"/>
        </w:rPr>
        <w:t xml:space="preserve"> l’import a consolidar</w:t>
      </w:r>
      <w:r w:rsidR="004473F6" w:rsidRPr="001B236A">
        <w:rPr>
          <w:sz w:val="20"/>
          <w:szCs w:val="20"/>
        </w:rPr>
        <w:t xml:space="preserve"> es descompta el 21% de l’IVA</w:t>
      </w:r>
      <w:r w:rsidR="00311AAC" w:rsidRPr="001B236A">
        <w:rPr>
          <w:sz w:val="20"/>
          <w:szCs w:val="20"/>
        </w:rPr>
        <w:t xml:space="preserve"> </w:t>
      </w:r>
      <w:r w:rsidR="006C4994" w:rsidRPr="001B236A">
        <w:rPr>
          <w:sz w:val="20"/>
          <w:szCs w:val="20"/>
        </w:rPr>
        <w:t xml:space="preserve"> de tots aquells serveis que en tinguin </w:t>
      </w:r>
      <w:r w:rsidR="00311AAC" w:rsidRPr="001B236A">
        <w:rPr>
          <w:sz w:val="20"/>
          <w:szCs w:val="20"/>
        </w:rPr>
        <w:t>i que mai es consolida la dotació de la partida de serveis TIC de sota demanda, la D/2280005</w:t>
      </w:r>
      <w:r>
        <w:rPr>
          <w:sz w:val="20"/>
          <w:szCs w:val="20"/>
        </w:rPr>
        <w:t xml:space="preserve"> així com tampoc la despesa imputada a capítol 6 per tractar-se, conceptualment, de despesa sota demanda</w:t>
      </w:r>
      <w:r w:rsidR="004473F6" w:rsidRPr="001B236A">
        <w:rPr>
          <w:sz w:val="20"/>
          <w:szCs w:val="20"/>
        </w:rPr>
        <w:t>.</w:t>
      </w:r>
      <w:r w:rsidR="006C4994" w:rsidRPr="001B236A">
        <w:rPr>
          <w:sz w:val="20"/>
          <w:szCs w:val="20"/>
        </w:rPr>
        <w:t xml:space="preserve"> En el cas dels serveis d’evolutius, no tenen IVA perquè aquest sempre és un cost</w:t>
      </w:r>
      <w:r>
        <w:rPr>
          <w:sz w:val="20"/>
          <w:szCs w:val="20"/>
        </w:rPr>
        <w:t xml:space="preserve"> per al CTTI</w:t>
      </w:r>
      <w:r w:rsidR="006C4994" w:rsidRPr="001B236A">
        <w:rPr>
          <w:sz w:val="20"/>
          <w:szCs w:val="20"/>
        </w:rPr>
        <w:t>. Per tant, l’import a consolidar és tot l’import previst en la dotació de la 2280004</w:t>
      </w:r>
      <w:r w:rsidR="001B236A" w:rsidRPr="001B236A">
        <w:rPr>
          <w:sz w:val="20"/>
          <w:szCs w:val="20"/>
        </w:rPr>
        <w:t xml:space="preserve"> sense descomptar el 21%.</w:t>
      </w:r>
    </w:p>
    <w:p w14:paraId="7B933082" w14:textId="2C0B42CC" w:rsidR="00960EBA" w:rsidRPr="00F17CF3" w:rsidRDefault="0032217F" w:rsidP="00311AAC">
      <w:pPr>
        <w:jc w:val="both"/>
        <w:rPr>
          <w:sz w:val="20"/>
          <w:szCs w:val="20"/>
        </w:rPr>
      </w:pPr>
      <w:r w:rsidRPr="006C4994">
        <w:rPr>
          <w:sz w:val="20"/>
          <w:szCs w:val="20"/>
          <w:highlight w:val="yellow"/>
        </w:rPr>
        <w:t>Entitats SP</w:t>
      </w:r>
      <w:r w:rsidR="006C4994" w:rsidRPr="006C4994">
        <w:rPr>
          <w:sz w:val="20"/>
          <w:szCs w:val="20"/>
          <w:highlight w:val="yellow"/>
        </w:rPr>
        <w:t xml:space="preserve"> i</w:t>
      </w:r>
      <w:r w:rsidRPr="006C4994">
        <w:rPr>
          <w:sz w:val="20"/>
          <w:szCs w:val="20"/>
          <w:highlight w:val="yellow"/>
        </w:rPr>
        <w:t xml:space="preserve"> Departaments:</w:t>
      </w:r>
    </w:p>
    <w:p w14:paraId="58B8EE20" w14:textId="7D0D10F2" w:rsidR="00B40441" w:rsidRDefault="00F76177" w:rsidP="00B40441">
      <w:pPr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F76177">
        <w:rPr>
          <w:noProof/>
        </w:rPr>
        <w:drawing>
          <wp:inline distT="0" distB="0" distL="0" distR="0" wp14:anchorId="34F445C7" wp14:editId="3331E828">
            <wp:extent cx="8877300" cy="990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669" cy="100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6E0A" w14:textId="7913832A" w:rsidR="00F17CF3" w:rsidRDefault="00F17CF3" w:rsidP="00B40441">
      <w:pPr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2C1F29">
        <w:rPr>
          <w:rFonts w:ascii="Arial" w:eastAsia="Times New Roman" w:hAnsi="Arial" w:cs="Arial"/>
          <w:sz w:val="18"/>
          <w:szCs w:val="18"/>
          <w:highlight w:val="yellow"/>
          <w:lang w:eastAsia="ca-ES"/>
        </w:rPr>
        <w:t>Entitats AP-SEC minoritàries :</w:t>
      </w:r>
    </w:p>
    <w:p w14:paraId="7C9BD21F" w14:textId="36B0DD8B" w:rsidR="00F76177" w:rsidRDefault="00F76177" w:rsidP="00B40441">
      <w:pPr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F76177">
        <w:rPr>
          <w:noProof/>
        </w:rPr>
        <w:drawing>
          <wp:inline distT="0" distB="0" distL="0" distR="0" wp14:anchorId="1CF8238D" wp14:editId="5FE83BB3">
            <wp:extent cx="9039225" cy="9429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932" cy="94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25630" w14:textId="03A83AE4" w:rsidR="0032217F" w:rsidRDefault="00F17CF3" w:rsidP="00812004">
      <w:pPr>
        <w:pStyle w:val="Pargrafdellista"/>
        <w:spacing w:line="276" w:lineRule="auto"/>
        <w:ind w:left="-110"/>
        <w:jc w:val="both"/>
        <w:rPr>
          <w:rFonts w:cs="Arial"/>
          <w:sz w:val="18"/>
          <w:szCs w:val="18"/>
        </w:rPr>
      </w:pPr>
      <w:r>
        <w:rPr>
          <w:noProof/>
          <w:lang w:eastAsia="ca-ES"/>
        </w:rPr>
        <w:t xml:space="preserve">  </w:t>
      </w:r>
    </w:p>
    <w:p w14:paraId="76A5FA7F" w14:textId="1CA41E20" w:rsidR="001B236A" w:rsidRDefault="006C4994" w:rsidP="001B236A">
      <w:pPr>
        <w:pStyle w:val="Pargrafdellista"/>
        <w:spacing w:line="276" w:lineRule="auto"/>
        <w:ind w:left="-11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6C4994">
        <w:rPr>
          <w:rFonts w:ascii="Arial" w:eastAsia="Times New Roman" w:hAnsi="Arial" w:cs="Arial"/>
          <w:sz w:val="18"/>
          <w:szCs w:val="18"/>
          <w:highlight w:val="yellow"/>
          <w:lang w:eastAsia="ca-ES"/>
        </w:rPr>
        <w:t>DD08 gestionada pel departament d’adscripció del CTTI:</w:t>
      </w:r>
    </w:p>
    <w:p w14:paraId="5F247210" w14:textId="67DFB82F" w:rsidR="00F76177" w:rsidRDefault="00F76177" w:rsidP="001B236A">
      <w:pPr>
        <w:pStyle w:val="Pargrafdellista"/>
        <w:spacing w:line="276" w:lineRule="auto"/>
        <w:ind w:left="-11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0CA9D9C4" w14:textId="5AF45FA9" w:rsidR="00F76177" w:rsidRDefault="00F76177" w:rsidP="001B236A">
      <w:pPr>
        <w:pStyle w:val="Pargrafdellista"/>
        <w:spacing w:line="276" w:lineRule="auto"/>
        <w:ind w:left="-11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F76177">
        <w:rPr>
          <w:noProof/>
        </w:rPr>
        <w:drawing>
          <wp:inline distT="0" distB="0" distL="0" distR="0" wp14:anchorId="22F0DA2E" wp14:editId="789ED47A">
            <wp:extent cx="9100108" cy="53340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145" cy="5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3082D" w14:textId="77777777" w:rsidR="001B236A" w:rsidRDefault="001B236A" w:rsidP="001B236A">
      <w:pPr>
        <w:pStyle w:val="Pargrafdellista"/>
        <w:spacing w:line="276" w:lineRule="auto"/>
        <w:ind w:left="-11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7538F1D7" w14:textId="77777777" w:rsidR="002756AD" w:rsidRDefault="002756AD" w:rsidP="001A0F8A">
      <w:pPr>
        <w:rPr>
          <w:rFonts w:cs="Arial"/>
          <w:color w:val="FF0000"/>
          <w:sz w:val="18"/>
          <w:szCs w:val="18"/>
        </w:rPr>
      </w:pPr>
    </w:p>
    <w:p w14:paraId="24A2AE75" w14:textId="77777777" w:rsidR="002756AD" w:rsidRPr="001A0F8A" w:rsidRDefault="002756AD" w:rsidP="001A0F8A">
      <w:pPr>
        <w:rPr>
          <w:rFonts w:cs="Arial"/>
          <w:color w:val="FF0000"/>
          <w:sz w:val="18"/>
          <w:szCs w:val="18"/>
        </w:rPr>
        <w:sectPr w:rsidR="002756AD" w:rsidRPr="001A0F8A" w:rsidSect="0061307E">
          <w:headerReference w:type="default" r:id="rId11"/>
          <w:pgSz w:w="16838" w:h="11906" w:orient="landscape"/>
          <w:pgMar w:top="1701" w:right="1954" w:bottom="1701" w:left="1417" w:header="708" w:footer="708" w:gutter="0"/>
          <w:cols w:space="708"/>
          <w:docGrid w:linePitch="360"/>
        </w:sectPr>
      </w:pPr>
    </w:p>
    <w:p w14:paraId="100B80F8" w14:textId="77777777" w:rsidR="00514DFD" w:rsidRDefault="00514DFD" w:rsidP="00DF06CF">
      <w:pPr>
        <w:pStyle w:val="Pargrafdellista"/>
        <w:spacing w:after="0" w:line="276" w:lineRule="auto"/>
        <w:contextualSpacing w:val="0"/>
        <w:jc w:val="both"/>
        <w:rPr>
          <w:rFonts w:cs="Arial"/>
          <w:color w:val="FF0000"/>
          <w:sz w:val="18"/>
          <w:szCs w:val="18"/>
        </w:rPr>
        <w:sectPr w:rsidR="00514DFD" w:rsidSect="00514DFD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14:paraId="245F61FE" w14:textId="77777777" w:rsidR="00DF06CF" w:rsidRDefault="00DF06CF" w:rsidP="0061307E">
      <w:pPr>
        <w:pStyle w:val="Pargrafdellista"/>
        <w:spacing w:after="0"/>
        <w:rPr>
          <w:sz w:val="18"/>
          <w:szCs w:val="18"/>
        </w:rPr>
        <w:sectPr w:rsidR="00DF06CF" w:rsidSect="00DF06CF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14:paraId="7A3F1414" w14:textId="77777777" w:rsidR="004F42A4" w:rsidRDefault="004F42A4" w:rsidP="004F42A4">
      <w:pPr>
        <w:pStyle w:val="Pargrafdellista"/>
        <w:rPr>
          <w:sz w:val="18"/>
          <w:szCs w:val="18"/>
        </w:rPr>
      </w:pPr>
    </w:p>
    <w:p w14:paraId="60F2360E" w14:textId="77777777" w:rsidR="004F42A4" w:rsidRPr="007613C5" w:rsidRDefault="004F42A4" w:rsidP="004F42A4">
      <w:pPr>
        <w:rPr>
          <w:sz w:val="18"/>
          <w:szCs w:val="18"/>
        </w:rPr>
      </w:pPr>
    </w:p>
    <w:p w14:paraId="47109B6A" w14:textId="77777777" w:rsidR="007613C5" w:rsidRPr="0061307E" w:rsidRDefault="004F42A4" w:rsidP="0061307E">
      <w:pPr>
        <w:spacing w:after="200" w:line="276" w:lineRule="auto"/>
        <w:ind w:left="720"/>
        <w:jc w:val="both"/>
        <w:rPr>
          <w:rFonts w:cs="Arial"/>
          <w:b/>
          <w:sz w:val="18"/>
          <w:szCs w:val="18"/>
        </w:rPr>
      </w:pPr>
      <w:r w:rsidRPr="00392E2B">
        <w:rPr>
          <w:rFonts w:cs="Arial"/>
          <w:sz w:val="18"/>
          <w:szCs w:val="18"/>
        </w:rPr>
        <w:t xml:space="preserve">                                               </w:t>
      </w:r>
      <w:r>
        <w:rPr>
          <w:rFonts w:cs="Arial"/>
          <w:color w:val="FF0000"/>
          <w:sz w:val="18"/>
          <w:szCs w:val="18"/>
        </w:rPr>
        <w:t xml:space="preserve">                                                                           </w:t>
      </w:r>
      <w:r w:rsidRPr="004F43DB">
        <w:rPr>
          <w:rFonts w:cs="Arial"/>
          <w:color w:val="FF0000"/>
          <w:sz w:val="18"/>
          <w:szCs w:val="18"/>
        </w:rPr>
        <w:t xml:space="preserve">   </w:t>
      </w:r>
      <w:r>
        <w:rPr>
          <w:rFonts w:cs="Arial"/>
          <w:color w:val="FF0000"/>
          <w:sz w:val="18"/>
          <w:szCs w:val="18"/>
        </w:rPr>
        <w:t xml:space="preserve">     </w:t>
      </w:r>
      <w:r w:rsidR="005A5321">
        <w:rPr>
          <w:rFonts w:cs="Arial"/>
          <w:b/>
          <w:color w:val="FF0000"/>
          <w:sz w:val="18"/>
          <w:szCs w:val="18"/>
        </w:rPr>
        <w:t xml:space="preserve">                                                       </w:t>
      </w:r>
      <w:r w:rsidR="00834827" w:rsidRPr="004F43DB">
        <w:rPr>
          <w:rFonts w:cs="Arial"/>
          <w:color w:val="FF0000"/>
          <w:sz w:val="18"/>
          <w:szCs w:val="18"/>
        </w:rPr>
        <w:t xml:space="preserve">                 </w:t>
      </w:r>
      <w:r w:rsidR="00834827">
        <w:rPr>
          <w:rFonts w:cs="Arial"/>
          <w:color w:val="FF0000"/>
          <w:sz w:val="18"/>
          <w:szCs w:val="18"/>
        </w:rPr>
        <w:t xml:space="preserve">      </w:t>
      </w:r>
      <w:r w:rsidR="005A5321">
        <w:rPr>
          <w:rFonts w:cs="Arial"/>
          <w:color w:val="FF0000"/>
          <w:sz w:val="18"/>
          <w:szCs w:val="18"/>
        </w:rPr>
        <w:t xml:space="preserve">                                                                       </w:t>
      </w:r>
      <w:r w:rsidR="00834827">
        <w:rPr>
          <w:rFonts w:cs="Arial"/>
          <w:color w:val="FF0000"/>
          <w:sz w:val="18"/>
          <w:szCs w:val="18"/>
        </w:rPr>
        <w:t xml:space="preserve">  </w:t>
      </w:r>
      <w:r w:rsidR="00834827" w:rsidRPr="004F43DB">
        <w:rPr>
          <w:rFonts w:cs="Arial"/>
          <w:color w:val="FF0000"/>
          <w:sz w:val="18"/>
          <w:szCs w:val="18"/>
        </w:rPr>
        <w:t xml:space="preserve">   </w:t>
      </w:r>
      <w:r w:rsidR="00834827">
        <w:rPr>
          <w:rFonts w:cs="Arial"/>
          <w:color w:val="FF0000"/>
          <w:sz w:val="18"/>
          <w:szCs w:val="18"/>
        </w:rPr>
        <w:t xml:space="preserve">     </w:t>
      </w:r>
      <w:r w:rsidR="00834827" w:rsidRPr="004F43DB">
        <w:rPr>
          <w:rFonts w:cs="Arial"/>
          <w:color w:val="FF0000"/>
          <w:sz w:val="18"/>
          <w:szCs w:val="18"/>
        </w:rPr>
        <w:t xml:space="preserve">- </w:t>
      </w:r>
    </w:p>
    <w:sectPr w:rsidR="007613C5" w:rsidRPr="0061307E" w:rsidSect="00514DFD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C515" w14:textId="77777777" w:rsidR="005040AA" w:rsidRDefault="005040AA" w:rsidP="005040AA">
      <w:pPr>
        <w:spacing w:after="0" w:line="240" w:lineRule="auto"/>
      </w:pPr>
      <w:r>
        <w:separator/>
      </w:r>
    </w:p>
  </w:endnote>
  <w:endnote w:type="continuationSeparator" w:id="0">
    <w:p w14:paraId="0464A2F6" w14:textId="77777777" w:rsidR="005040AA" w:rsidRDefault="005040AA" w:rsidP="0050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149F" w14:textId="77777777" w:rsidR="005040AA" w:rsidRDefault="005040AA" w:rsidP="005040AA">
      <w:pPr>
        <w:spacing w:after="0" w:line="240" w:lineRule="auto"/>
      </w:pPr>
      <w:r>
        <w:separator/>
      </w:r>
    </w:p>
  </w:footnote>
  <w:footnote w:type="continuationSeparator" w:id="0">
    <w:p w14:paraId="1822C352" w14:textId="77777777" w:rsidR="005040AA" w:rsidRDefault="005040AA" w:rsidP="0050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1C03" w14:textId="69D7B234" w:rsidR="005040AA" w:rsidRDefault="00DF5333" w:rsidP="005040AA">
    <w:pPr>
      <w:pStyle w:val="Capalera"/>
      <w:ind w:hanging="142"/>
    </w:pPr>
    <w:r>
      <w:rPr>
        <w:noProof/>
        <w:lang w:eastAsia="ca-ES"/>
      </w:rPr>
      <w:drawing>
        <wp:inline distT="0" distB="0" distL="0" distR="0" wp14:anchorId="12DC5613" wp14:editId="29DEE0EF">
          <wp:extent cx="2953512" cy="320040"/>
          <wp:effectExtent l="0" t="0" r="0" b="3810"/>
          <wp:docPr id="2103638622" name="Imatge 1" descr="Logotip del Departament d'Economia i Finances,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38622" name="Imatge 1" descr="Logotip del Departament d'Economia i Finances,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2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7A0C0" w14:textId="77777777" w:rsidR="005040AA" w:rsidRDefault="005040A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7292"/>
    <w:multiLevelType w:val="hybridMultilevel"/>
    <w:tmpl w:val="343E93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F6A"/>
    <w:multiLevelType w:val="hybridMultilevel"/>
    <w:tmpl w:val="E72068B2"/>
    <w:lvl w:ilvl="0" w:tplc="6CF8E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7A41"/>
    <w:multiLevelType w:val="hybridMultilevel"/>
    <w:tmpl w:val="9F3EBF5E"/>
    <w:lvl w:ilvl="0" w:tplc="040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104062656">
    <w:abstractNumId w:val="1"/>
  </w:num>
  <w:num w:numId="2" w16cid:durableId="1674411247">
    <w:abstractNumId w:val="0"/>
  </w:num>
  <w:num w:numId="3" w16cid:durableId="96095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C5"/>
    <w:rsid w:val="00021FC8"/>
    <w:rsid w:val="00022B25"/>
    <w:rsid w:val="00034419"/>
    <w:rsid w:val="000D7B3A"/>
    <w:rsid w:val="00136EC3"/>
    <w:rsid w:val="001755B5"/>
    <w:rsid w:val="001A0F8A"/>
    <w:rsid w:val="001B236A"/>
    <w:rsid w:val="001E36CB"/>
    <w:rsid w:val="00231BE9"/>
    <w:rsid w:val="002529AD"/>
    <w:rsid w:val="002756AD"/>
    <w:rsid w:val="00276899"/>
    <w:rsid w:val="00276CF0"/>
    <w:rsid w:val="002B1EBE"/>
    <w:rsid w:val="002C1F29"/>
    <w:rsid w:val="002F1021"/>
    <w:rsid w:val="00311AAC"/>
    <w:rsid w:val="003220B9"/>
    <w:rsid w:val="0032217F"/>
    <w:rsid w:val="00322181"/>
    <w:rsid w:val="00336A0A"/>
    <w:rsid w:val="00366200"/>
    <w:rsid w:val="00392E2B"/>
    <w:rsid w:val="003B28B5"/>
    <w:rsid w:val="00403417"/>
    <w:rsid w:val="00404911"/>
    <w:rsid w:val="004473F6"/>
    <w:rsid w:val="004722C5"/>
    <w:rsid w:val="004E7DB2"/>
    <w:rsid w:val="004F42A4"/>
    <w:rsid w:val="004F43DB"/>
    <w:rsid w:val="005040AA"/>
    <w:rsid w:val="00514DFD"/>
    <w:rsid w:val="005A5321"/>
    <w:rsid w:val="005D7AB3"/>
    <w:rsid w:val="0061307E"/>
    <w:rsid w:val="006443CE"/>
    <w:rsid w:val="006C4994"/>
    <w:rsid w:val="0076008D"/>
    <w:rsid w:val="007613C5"/>
    <w:rsid w:val="007B761A"/>
    <w:rsid w:val="007C0BB8"/>
    <w:rsid w:val="007C2EE4"/>
    <w:rsid w:val="007D0EF2"/>
    <w:rsid w:val="00812004"/>
    <w:rsid w:val="00834827"/>
    <w:rsid w:val="00851F4E"/>
    <w:rsid w:val="00865985"/>
    <w:rsid w:val="008767EB"/>
    <w:rsid w:val="00891C71"/>
    <w:rsid w:val="008B2D04"/>
    <w:rsid w:val="008B3742"/>
    <w:rsid w:val="00912B3B"/>
    <w:rsid w:val="009462B9"/>
    <w:rsid w:val="00960EBA"/>
    <w:rsid w:val="009B13C0"/>
    <w:rsid w:val="009D09FC"/>
    <w:rsid w:val="009F3338"/>
    <w:rsid w:val="00A67DD9"/>
    <w:rsid w:val="00B02C75"/>
    <w:rsid w:val="00B40441"/>
    <w:rsid w:val="00B46D53"/>
    <w:rsid w:val="00B56B8D"/>
    <w:rsid w:val="00BE6F72"/>
    <w:rsid w:val="00C049DE"/>
    <w:rsid w:val="00C27013"/>
    <w:rsid w:val="00C8137D"/>
    <w:rsid w:val="00C94C7D"/>
    <w:rsid w:val="00CB2F85"/>
    <w:rsid w:val="00D57F62"/>
    <w:rsid w:val="00D820A3"/>
    <w:rsid w:val="00DB5807"/>
    <w:rsid w:val="00DB72A3"/>
    <w:rsid w:val="00DD3064"/>
    <w:rsid w:val="00DD6948"/>
    <w:rsid w:val="00DE1168"/>
    <w:rsid w:val="00DF06CF"/>
    <w:rsid w:val="00DF5333"/>
    <w:rsid w:val="00E317FF"/>
    <w:rsid w:val="00E507CD"/>
    <w:rsid w:val="00E90F1C"/>
    <w:rsid w:val="00EB6AC2"/>
    <w:rsid w:val="00EE7B7B"/>
    <w:rsid w:val="00EF2511"/>
    <w:rsid w:val="00F06034"/>
    <w:rsid w:val="00F17CF3"/>
    <w:rsid w:val="00F375E1"/>
    <w:rsid w:val="00F456B2"/>
    <w:rsid w:val="00F76177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438DF2"/>
  <w15:chartTrackingRefBased/>
  <w15:docId w15:val="{4FCDBCAC-FAA8-4FAA-A8A4-2D2E516D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613C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4F42A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4F42A4"/>
    <w:pPr>
      <w:spacing w:after="0" w:line="240" w:lineRule="auto"/>
    </w:pPr>
    <w:rPr>
      <w:rFonts w:eastAsiaTheme="minorEastAsia"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F42A4"/>
    <w:rPr>
      <w:rFonts w:eastAsiaTheme="minorEastAsia" w:cs="Times New Roman"/>
      <w:sz w:val="20"/>
      <w:szCs w:val="20"/>
      <w:lang w:eastAsia="ca-ES"/>
    </w:rPr>
  </w:style>
  <w:style w:type="character" w:styleId="mfasisubtil">
    <w:name w:val="Subtle Emphasis"/>
    <w:basedOn w:val="Lletraperdefectedelpargraf"/>
    <w:uiPriority w:val="19"/>
    <w:qFormat/>
    <w:rsid w:val="004F42A4"/>
    <w:rPr>
      <w:i/>
      <w:iCs/>
    </w:rPr>
  </w:style>
  <w:style w:type="table" w:styleId="Ombrejatsuaumfasi1">
    <w:name w:val="Light Shading Accent 1"/>
    <w:basedOn w:val="Taulanormal"/>
    <w:uiPriority w:val="60"/>
    <w:rsid w:val="004F42A4"/>
    <w:pPr>
      <w:spacing w:after="0" w:line="240" w:lineRule="auto"/>
    </w:pPr>
    <w:rPr>
      <w:rFonts w:eastAsiaTheme="minorEastAsia"/>
      <w:color w:val="2E74B5" w:themeColor="accent1" w:themeShade="BF"/>
      <w:lang w:eastAsia="ca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ulaambquadrcula">
    <w:name w:val="Table Grid"/>
    <w:basedOn w:val="Taulanormal"/>
    <w:uiPriority w:val="39"/>
    <w:rsid w:val="004F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2">
    <w:name w:val="Plain Table 2"/>
    <w:basedOn w:val="Taulanormal"/>
    <w:uiPriority w:val="42"/>
    <w:rsid w:val="00DF06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504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040AA"/>
  </w:style>
  <w:style w:type="paragraph" w:styleId="Peu">
    <w:name w:val="footer"/>
    <w:basedOn w:val="Normal"/>
    <w:link w:val="PeuCar"/>
    <w:uiPriority w:val="99"/>
    <w:unhideWhenUsed/>
    <w:rsid w:val="00504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040AA"/>
  </w:style>
  <w:style w:type="character" w:styleId="Textennegreta">
    <w:name w:val="Strong"/>
    <w:basedOn w:val="Lletraperdefectedelpargraf"/>
    <w:uiPriority w:val="22"/>
    <w:qFormat/>
    <w:rsid w:val="006C4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9701-1FE0-4762-8E45-D3AF6D99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Calvo, Maria Teresa</dc:creator>
  <cp:keywords/>
  <dc:description/>
  <cp:lastModifiedBy>Garcia Calvo, Maria Teresa</cp:lastModifiedBy>
  <cp:revision>12</cp:revision>
  <dcterms:created xsi:type="dcterms:W3CDTF">2024-09-06T10:17:00Z</dcterms:created>
  <dcterms:modified xsi:type="dcterms:W3CDTF">2024-09-26T10:38:00Z</dcterms:modified>
</cp:coreProperties>
</file>